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Sayın Başkan, BUSİAD’ın Saygıdeğer Üyeleri, sevgili konuklar, Değerli Basın Mensupları,</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BUSİAD tarafından düzenlenen Doğan Ersöz Ödülü ve BUSİAD Başarı Ödülleri Töreninde sizlerle birlikte olmaktan büyük memnuniyet duyuyorum. Ödüle hak kazanan tüm kişi ve kuruluşları Bursa’ya ve ülkemize sağladıkları katkıdan dolayı candan tebrik ediyorum.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BUSİAD, TÜSİAD’dan sonra, bağımsız ve gönüllülük esasına göre örgütlenmiş, en eski Sanayici ve İş İnsanları Derneklerimizden biri. Anadolu iş dünyası için de önemli bir model oluşturdu. MARSİFED ve TÜRKONFED kapsamında zaten BUSİAD ile yakın işbirliği içindeyiz.</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TÜSİAD olarak bu sene 45. yılımızı kutluyoruz. Bugün geriye dönüp baktığımızda, 45 yıl boyunca yürüttüğümüz çalışmalar ile ülkemizin, ekonomik ve sosyal kalkınması, demokratikleşmesi alanlarında önemli bir birikim oluşturduğumuzu ve katkı sağladığımızı görüyorum. Bu yolda bize en çok güç veren özelliğimizin de bağımsız ve gönüllü duruşumuz olduğunu düşünüyorum.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BUSİAD’ın da bu ilke ile kurulmuş ve bugüne kadar kente ve ülkeye çok ciddi katkılar sağlamış olmasında, bugün belki çok daha net olarak gördüğümüz gibi, bu duruşun önemli etkisi olduğuna inanıyorum. Ülkemizin içinden geçtiği bu zorlu dönemde bu tür sivil toplum kuruluşlarının ülkenin geleceğine sahip çıkmasını çok daha ciddi bir sorumluluk olarak görüyorum.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Hukukun üstünlüğüne, demokratik kazanımlarımıza, yargı bağımsızlığına yönelik talebimizden hiç vazgeçmiyoruz, vazgeçmeyeceğiz de.</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Çünkü, bunlar olmadan kalkınma hedeflerimize ulaşamayacağımızı hepimiz çok iyi biliyoruz. Bu vesile ile kurucu Başkan Sayın Doğan Ersöz’ü de saygı ile anıyorum.</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Değerli Konuklar,</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Bursa gibi sanayi kentlerimizin gelişebilmesi için yerel girişimler ve gelişmeler ne kadar önemliyse ülkemizdeki siyasi ve ekonomik istikrar ortamı da bir o kadar önemli. İstikrar ve geleceğe güven iş dünyasının gelişimi, yatırımların ve refahın artması için en önemli koşul.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Ancak, son dönemde gerek Türkiye’de gerekse dünyada olağanüstü gelişmelere şahit oluyoruz.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color w:val="000000"/>
          <w:sz w:val="24"/>
          <w:szCs w:val="24"/>
          <w:u w:val="none"/>
          <w:rtl w:val="0"/>
        </w:rPr>
        <w:t xml:space="preserve">Küresel kriz sonrasında dünya yoğun bir ekonomik ve siyasal değişim içine girdi. Bunun etkilerini hayatın ve uluslararası sistemin her alanında hissediyoruz. Uzun yılların içinden süzülüp gelen ve artık sabit kabul edilen birçok olgunun bu dinamiğe karşı koyamadığını gördük.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u w:val="none"/>
          <w:rtl w:val="0"/>
        </w:rPr>
        <w:t xml:space="preserve">Rekabetçi ekonomi mantığının sosyal refah mantığıyla yeterince bütünleştirilemediği durumlarda ortaya çıkan krizler siyaset yelpazesinin sınırlarını genişletse de genel olarak kimlik siyasetini öne çıkaran popülist akımların güçlenmesine zemin oluşturuyor. Popülizmin güdümündeki bir kimlik siyaseti de bütünleşmeye değil, daha çok çatışmaya ve ayrışmaya yol açıyor. İngiltere’de Brexit, Amerika’da seçim sürecindeki tartışmalar son dönem örnekleri.</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color w:val="000000"/>
          <w:sz w:val="24"/>
          <w:szCs w:val="24"/>
          <w:u w:val="none"/>
          <w:rtl w:val="0"/>
        </w:rPr>
        <w:t xml:space="preserve">Küresel dünyada nedenleri karmaşık ve toplum nezdinde yeterince görünür olmayan ekonomik sorunların tartışılmasının daha görünür olan basit konular üzerinden yürütülmesi bu tip popülist akımlar açısından oldukça cazip hale geliyor.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color w:val="000000"/>
          <w:sz w:val="24"/>
          <w:szCs w:val="24"/>
          <w:u w:val="none"/>
          <w:rtl w:val="0"/>
        </w:rPr>
        <w:t xml:space="preserve">Bunun sonucu olarak siyasal merkez daralıyor; etnisite, din, mezhep, azınlıklara odaklı radikal akımların etki alanına giren göçmenler gibi konular siyasal tartışmanın merkezine yerleşiyor. Uzlaşıya dayalı ve kapsayıcı ana akım siyaset yerini çatışmacı, kültür ve kimlik ekseninde kutuplaştırıcı ve dışlayıcı siyasete bırakıyor.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color w:val="000000"/>
          <w:sz w:val="24"/>
          <w:szCs w:val="24"/>
          <w:u w:val="none"/>
          <w:rtl w:val="0"/>
        </w:rPr>
        <w:t xml:space="preserve">İzolasyoncu yaklaşımlara dayalı anlayışlarla küresel ekonomiyi kontrol etmek, serbest dolaşımı sınırlamak, demokrasiyi güçlendirmek ve toplumsal refahı artırmak mümkün değildir. Duvarların arkasına kapanma siyaseti tam aksi sonuçlar verir; belirsizliği, güvensizliği ve istikrarsızlığı artırır, refahı daha da geriletir.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Times New Roman" w:cs="Times New Roman" w:eastAsia="Times New Roman" w:hAnsi="Times New Roman"/>
          <w:b w:val="0"/>
          <w:color w:val="000000"/>
          <w:sz w:val="24"/>
          <w:szCs w:val="24"/>
          <w:u w:val="none"/>
          <w:rtl w:val="0"/>
        </w:rPr>
        <w:t xml:space="preserve">Benzer bir yaklaşımın dışarıda olduğu kadar içeride de sakıncalı olacağını söylemek yanlış olmaz. Ülkemiz son dönemde olağanüstü gelişmelere şahit oluyor. İçeride bir darbe girişimi, sınır ötesinde bir sivil savaş ve bölgesel terör eylemlerinin içerideki yansımaları nedeniyle zor bir dönemden geçiyoruz. Bu koşullar altında himayeci, içe kapanmacı eğilimlerin artmasını anlayabiliyoruz ancak tüm bu sorunlar için çözümün mutabakat kültürü içerisinde, akılcı yöntemlerle aranması gerekiyor. </w:t>
      </w:r>
    </w:p>
    <w:p w:rsidR="00000000" w:rsidDel="00000000" w:rsidP="00000000" w:rsidRDefault="00000000" w:rsidRPr="00000000">
      <w:pPr>
        <w:spacing w:after="0" w:before="0" w:line="240" w:lineRule="auto"/>
        <w:contextualSpacing w:val="0"/>
        <w:jc w:val="both"/>
      </w:pPr>
      <w:r w:rsidDel="00000000" w:rsidR="00000000" w:rsidRPr="00000000">
        <w:rPr>
          <w:rFonts w:ascii="Times New Roman" w:cs="Times New Roman" w:eastAsia="Times New Roman" w:hAnsi="Times New Roman"/>
          <w:b w:val="0"/>
          <w:color w:val="000000"/>
          <w:sz w:val="24"/>
          <w:szCs w:val="24"/>
          <w:u w:val="none"/>
          <w:rtl w:val="0"/>
        </w:rPr>
        <w:t xml:space="preserve">Ortak akıl, ulusal sorunlara yönelik birlikte hareket etme kültürünü çok önemsiyoruz.</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Times New Roman" w:cs="Times New Roman" w:eastAsia="Times New Roman" w:hAnsi="Times New Roman"/>
          <w:b w:val="0"/>
          <w:color w:val="000000"/>
          <w:sz w:val="24"/>
          <w:szCs w:val="24"/>
          <w:u w:val="none"/>
          <w:rtl w:val="0"/>
        </w:rPr>
        <w:t xml:space="preserve">Olağanüstü hali aşmış, demokratik ve toplumsal uzlaşmasını sağlamış bir Türkiye’nin, iktisadi alanda daha hızlı gelişmesi, uluslararası planda ise daha itibarlı bir ülke olması mümkündür.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Times New Roman" w:cs="Times New Roman" w:eastAsia="Times New Roman" w:hAnsi="Times New Roman"/>
          <w:b w:val="0"/>
          <w:color w:val="000000"/>
          <w:sz w:val="24"/>
          <w:szCs w:val="24"/>
          <w:u w:val="none"/>
          <w:rtl w:val="0"/>
        </w:rPr>
        <w:t xml:space="preserve">İş dünyası için bu dönemde temel hedef Türkiye’de ekonomik, siyasi ve sosyal ortamın bir an önce normalleşmesidir.</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Times New Roman" w:cs="Times New Roman" w:eastAsia="Times New Roman" w:hAnsi="Times New Roman"/>
          <w:b w:val="0"/>
          <w:color w:val="000000"/>
          <w:sz w:val="24"/>
          <w:szCs w:val="24"/>
          <w:u w:val="none"/>
          <w:rtl w:val="0"/>
        </w:rPr>
        <w:t xml:space="preserve">Ekonominin yaşadığımız bu olağanüstü dönemden etkilenmemesi mümkün değil.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Times New Roman" w:cs="Times New Roman" w:eastAsia="Times New Roman" w:hAnsi="Times New Roman"/>
          <w:b w:val="0"/>
          <w:color w:val="000000"/>
          <w:sz w:val="24"/>
          <w:szCs w:val="24"/>
          <w:u w:val="none"/>
          <w:rtl w:val="0"/>
        </w:rPr>
        <w:t xml:space="preserve">Türkiye ekonomisi son yıllarda pek çok şoka karşı dayanıklılığını ispatladı. </w:t>
      </w:r>
    </w:p>
    <w:p w:rsidR="00000000" w:rsidDel="00000000" w:rsidP="00000000" w:rsidRDefault="00000000" w:rsidRPr="00000000">
      <w:pPr>
        <w:spacing w:after="0" w:before="0" w:line="240" w:lineRule="auto"/>
        <w:contextualSpacing w:val="0"/>
        <w:jc w:val="both"/>
      </w:pPr>
      <w:r w:rsidDel="00000000" w:rsidR="00000000" w:rsidRPr="00000000">
        <w:rPr>
          <w:rFonts w:ascii="Times New Roman" w:cs="Times New Roman" w:eastAsia="Times New Roman" w:hAnsi="Times New Roman"/>
          <w:b w:val="0"/>
          <w:color w:val="000000"/>
          <w:sz w:val="24"/>
          <w:szCs w:val="24"/>
          <w:u w:val="none"/>
          <w:rtl w:val="0"/>
        </w:rPr>
        <w:t xml:space="preserve">Güçlü bankacılık sektörü ve mali disiplin bu dayanıklılığın en önemli kolonları oldu. Darbe girişimi sonrası finansal piyasaların hızla normalleşmesini de buna borçluyuz.</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Times New Roman" w:cs="Times New Roman" w:eastAsia="Times New Roman" w:hAnsi="Times New Roman"/>
          <w:b w:val="0"/>
          <w:color w:val="000000"/>
          <w:sz w:val="24"/>
          <w:szCs w:val="24"/>
          <w:u w:val="none"/>
          <w:rtl w:val="0"/>
        </w:rPr>
        <w:t xml:space="preserve">Ancak, gerek kredi derecelendirme kuruluşlarının not indirimleri, gerekse küresel sermaye akımlarında yaşanan dalgalanmalar, finansal piyasalarımızı etkisi altında tutmaya devam ediyor. Ekonomideki yapısal sorunlarımızın yarattığı riskleri ise ağırlıklı olarak kısa vadeli politikalar ile yönetiyoruz. Yapısal reformları süratle tamamlayarak, mevcut konjonktürde yatırımların önünü açmamız gerekiyor.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Times New Roman" w:cs="Times New Roman" w:eastAsia="Times New Roman" w:hAnsi="Times New Roman"/>
          <w:b w:val="0"/>
          <w:color w:val="000000"/>
          <w:sz w:val="24"/>
          <w:szCs w:val="24"/>
          <w:u w:val="none"/>
          <w:rtl w:val="0"/>
        </w:rPr>
        <w:t xml:space="preserve">Ardı ardına açıklanan teşvik paketlerini elbette olumlu buluyoruz, ancak içerisinde bulunduğumuz olağanüstü durum daha koordineli, öngörülebilir, sistemli bir yaklaşım gerektiriyor.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Times New Roman" w:cs="Times New Roman" w:eastAsia="Times New Roman" w:hAnsi="Times New Roman"/>
          <w:b w:val="0"/>
          <w:color w:val="000000"/>
          <w:sz w:val="24"/>
          <w:szCs w:val="24"/>
          <w:u w:val="none"/>
          <w:rtl w:val="0"/>
        </w:rPr>
        <w:t xml:space="preserve">Yeni yatırımlar için sağlanan destekler kadar, mevcut iş yapma ortamını destekleyen vergi, işgücü, dijitalleşme gibi alanlarda reformların hızlandırılması, orta ve küçük ölçekli firmaların finansmana erişim sorununu çözmeye yönelik önlemlerin bir an önce alınması gerekiyor.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Times New Roman" w:cs="Times New Roman" w:eastAsia="Times New Roman" w:hAnsi="Times New Roman"/>
          <w:b w:val="0"/>
          <w:color w:val="000000"/>
          <w:sz w:val="24"/>
          <w:szCs w:val="24"/>
          <w:u w:val="none"/>
          <w:rtl w:val="0"/>
        </w:rPr>
        <w:t xml:space="preserve">Değerli Konuklar,</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color w:val="000000"/>
          <w:sz w:val="24"/>
          <w:szCs w:val="24"/>
          <w:u w:val="none"/>
          <w:rtl w:val="0"/>
        </w:rPr>
        <w:t xml:space="preserve">Oldukça zor bir dönemden geçerken, iyimser olmaya her zamandan daha çok ihtiyacımız var.</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Sizler de biliyorsunuz dünya dijital bir dönüşüm yaşıyor.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Ülkemizin gündemi bazen dünyadaki bu hızlı gelişmelere yeteri kadar odaklanamamamıza neden olsa da, biz TÜSİAD olarak yaptığımız tüm çalışmalarla bunu sürekli gündemde tutmaya gayret ediyoruz.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Dijital dönüşüme ayak uydurma kapasitemiz, yeniliklerin getirdiği fırsatları değerlendirebilecek bilgi ve öngörüye, gerekli adımları atabilecek çeviklik ve esnekliğe ne kadar sahip olduğumuza bağlı. Bilgi ve çağımıza uygun, güncel yetkinliklerle kendimizi, şirketimizi, toplumumuzu donatabildiğimiz ölçüde ve ancak yepyeni bir anlayışla geleceği yakalayabileceğimize inanıyoruz.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Dijital dönüşüme paralel olarak, TÜSİAD olarak çok önemsediğimiz ve  gündemimizde olan diğer bir konu Sanayi 4.0. Türkiye’nin düşük katma değerli üretim kısır döngüsü yerine, artan yüksek katma değerli yatırımlar döngüsüne erişim potansiyelini bizlere sağlayacak olan Sanayi 4.0.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Bursa ülke sanayimiz açısından çok önemli merkezlerimizden biri. </w:t>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Bursa gibi yüksek katma değerli sanayiye öncelik veren bir kentin bu dönüşümde çok önemli katkı sağlayabileceğine inanıyorum. Patent başvurusu sıralamasında Türkiye’de 3. Sırada olması da bu anlamda önemli bir gösterge.</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Dijital dönüşümü ve Sanayi 4.0'a geçişi sağlayacak en önemli kaynak elbette nitelikli insan gücü. Ve elbette, bu insan gücünün nasıl eğitileceği.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Çocuklarımızı, gençlerimizi nasıl bir eğitim sistemi ile eğittiğimiz. Bilgi temelli ekonomide, “bilgi”yi üretecek ve kullanacak bireylerin de gerekli becerilere sahip olması büyük önem taşıyor. Bu becerilerin başında ise, “STEM”, yani fen, teknoloji, matematik ve mühendislik geliyor.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Ülkemizin en temel ve öncelikli konularından biri olduğuna inandığım ve bizim TÜSİAD olarak ısrarla dile getirdiğimiz eğitimin niteliği ve STEM, iş dünyası olarak ısrarla gündemde tutmamız ve hepimizin geleceği için talepkar olmamız gerektiğine inandığım bir konu.</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Büyük metropoller dışındaki kentlerin bir önceliği daha var. Bu nitelikli insan gücünü kentlerine çekebilmek, orada yaşamalarını kalıcı kılabilmek. Yani kentlerin yaşanabilirliği. Kentin altyapı imkanlarının yanı sıra, sosyal, kültürel, sanatsal çehresi. Bu anlamda, bugün ödül alan Bursa Filarmoni Derneği gibi kurumların da bir kentin kalkınması için en az sanayisi kadar önemli olduğunu düşünüyorum. Kendilerini tekrar tebrik ediyorum. Cazibe merkezi olmak isteyen diğer kentlerimizin de yatırım yapmaları gereken bir alan olduğuna dikkat çekmek isterim.</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Konuşmama son verirken, BUSİAD’a ve organizasyonda emeği geçen tüm dostlarımıza teşekkür ediyorum.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footerReference r:id="rId5" w:type="default"/>
      <w:pgSz w:h="16838" w:w="11906"/>
      <w:pgMar w:bottom="1418" w:top="1418" w:left="1418" w:right="141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tabs>
        <w:tab w:val="center" w:pos="4536"/>
        <w:tab w:val="right" w:pos="9072"/>
      </w:tabs>
      <w:spacing w:after="709" w:before="0" w:line="240" w:lineRule="auto"/>
      <w:contextualSpacing w:val="0"/>
      <w:jc w:val="center"/>
    </w:pPr>
    <w:fldSimple w:instr="PAGE" w:fldLock="0" w:dirty="0">
      <w:r w:rsidDel="00000000" w:rsidR="00000000" w:rsidRPr="00000000">
        <w:rPr>
          <w:rFonts w:ascii="Calibri" w:cs="Calibri" w:eastAsia="Calibri" w:hAnsi="Calibri"/>
          <w:b w:val="0"/>
          <w:sz w:val="22"/>
          <w:szCs w:val="22"/>
        </w:rPr>
      </w:r>
    </w:fldSimple>
    <w:r w:rsidDel="00000000" w:rsidR="00000000" w:rsidRPr="00000000">
      <w:rPr>
        <w:rtl w:val="0"/>
      </w:rPr>
    </w:r>
  </w:p>
  <w:p w:rsidR="00000000" w:rsidDel="00000000" w:rsidP="00000000" w:rsidRDefault="00000000" w:rsidRPr="00000000">
    <w:pPr>
      <w:tabs>
        <w:tab w:val="center" w:pos="4536"/>
        <w:tab w:val="right" w:pos="9072"/>
      </w:tabs>
      <w:spacing w:after="709" w:before="0" w:line="240" w:lineRule="auto"/>
      <w:contextualSpacing w:val="0"/>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vertAlign w:val="baseline"/>
      </w:rPr>
    </w:rPrDefault>
    <w:pPrDefault>
      <w:pPr>
        <w:keepNext w:val="0"/>
        <w:keepLines w:val="0"/>
        <w:widowControl w:val="1"/>
        <w:spacing w:after="160" w:before="0" w:line="259"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60" w:before="480" w:line="259" w:lineRule="auto"/>
    </w:pPr>
    <w:rPr>
      <w:rFonts w:ascii="Calibri" w:cs="Calibri" w:eastAsia="Calibri" w:hAnsi="Calibri"/>
      <w:b w:val="1"/>
      <w:color w:val="345a8a"/>
      <w:sz w:val="32"/>
      <w:szCs w:val="32"/>
    </w:rPr>
  </w:style>
  <w:style w:type="paragraph" w:styleId="Heading2">
    <w:name w:val="heading 2"/>
    <w:basedOn w:val="Normal"/>
    <w:next w:val="Normal"/>
    <w:pPr>
      <w:keepNext w:val="1"/>
      <w:keepLines w:val="1"/>
      <w:spacing w:after="160" w:before="200" w:line="259"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160" w:before="200" w:line="259" w:lineRule="auto"/>
    </w:pPr>
    <w:rPr>
      <w:rFonts w:ascii="Calibri" w:cs="Calibri" w:eastAsia="Calibri" w:hAnsi="Calibri"/>
      <w:b w:val="1"/>
      <w:color w:val="4f81bd"/>
      <w:sz w:val="24"/>
      <w:szCs w:val="24"/>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300" w:before="0" w:line="259" w:lineRule="auto"/>
    </w:pPr>
    <w:rPr>
      <w:rFonts w:ascii="Calibri" w:cs="Calibri" w:eastAsia="Calibri" w:hAnsi="Calibri"/>
      <w:b w:val="0"/>
      <w:color w:val="17365d"/>
      <w:sz w:val="52"/>
      <w:szCs w:val="52"/>
    </w:rPr>
  </w:style>
  <w:style w:type="paragraph" w:styleId="Subtitle">
    <w:name w:val="Subtitle"/>
    <w:basedOn w:val="Normal"/>
    <w:next w:val="Normal"/>
    <w:pPr>
      <w:keepNext w:val="1"/>
      <w:keepLines w:val="1"/>
      <w:spacing w:after="160" w:before="0" w:line="259" w:lineRule="auto"/>
    </w:pPr>
    <w:rPr>
      <w:rFonts w:ascii="Calibri" w:cs="Calibri" w:eastAsia="Calibri" w:hAnsi="Calibri"/>
      <w:b w:val="0"/>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footer" Target="footer1.xml"/></Relationships>
</file>